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d692f3b0a6f413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35513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SV. FILIP I JAKOV</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1.286.427,86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2.625.790,69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1.197.065,35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1.343.335,68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89.362,51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1.282.455,01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1435,1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38.499,78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277.457,43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2.394.328,90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2.114.279,97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2.355.829,12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1.836.822,54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508.036,78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1.167.915,50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217.042,65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1.275.839,37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107.923,87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1.975.472,48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662.291,40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33,5</w:t>
            </w:r>
          </w:p>
        </w:tc>
      </w:tr>
    </w:tbl>
    <w:p>
      <w:pPr>
        <w:spacing w:before="0" w:after="0"/>
      </w:pPr>
    </w:p>
    <w:p>
      <w:r>
        <w:t xml:space="preserve">BILJEŠKA 1. – UVODNO OBRAZLOŽENJE REZULTATA POSLOVANJA (PR-RAS)</w:t>
      </w:r>
      <w:r>
        <w:br/>
      </w:r>
      <w:r>
        <w:t xml:space="preserve">U izvještajnom razdoblju od 1. siječnja do 31. ožujka 2026. godine, Općina Sveti Filip i Jakov ostvarila je ukupan manjak prihoda i primitaka u iznosu od 662.291,40 eura (šifra Y005). Ovaj rezultat tekućeg razdoblja izravna je posljedica snažnog investicijskog ciklusa, odnosno vremenske dinamike plaćanja velikih kapitalnih projekata i povlačenja kreditnih sredstava.</w:t>
      </w:r>
      <w:r>
        <w:br/>
      </w:r>
      <w:r>
        <w:t xml:space="preserve">Struktura rezultata po računima iznosi se kako slijedi:</w:t>
      </w:r>
      <w:r>
        <w:br/>
      </w:r>
      <w:r>
        <w:t xml:space="preserve">1. Prihodi i rashodi poslovanja (Višak 1.282.455,01 eura) Ukupni prihodi poslovanja (šifra 6) ostvareni su u iznosu od 2.625.790,69 eura, što predstavlja značajno povećanje (indeks 204,1) u odnosu na isto razdoblje prethodne godine. Navedeno povećanje primarno je rezultat rasta prihoda od poreza (posebice poreza na dohodak uslijed rasta zaposlenosti i plaća) te pojačane naplate vlastitih prihoda. S druge strane, ukupni rashodi poslovanja (šifra 3) ostvareni su u iznosu od 1.343.335,68 eura, a odnose se na redovno funkcioniranje Općine i njezinih proračunskih korisnika (rashodi za zaposlene, materijalni troškovi i tekuće donacije). S obzirom na to da su prihodi poslovanja ostvareni u znatno većem obujmu od tekućih rashoda, ostvaren je snažan višak prihoda poslovanja (šifra X001) u iznosu od 1.282.455,01 eura.</w:t>
      </w:r>
      <w:r>
        <w:br/>
      </w:r>
      <w:r>
        <w:t xml:space="preserve">2. Prihodi i rashodi od nefinancijske imovine (Manjak 1.836.822,54 eura) Prihodi od prodaje nefinancijske imovine (šifra 7) iznose 277.457,43 eura i bilježe višestruko povećanje u odnosu na prethodnu godinu (indeks 720,7), što je rezultat pojačane realizacije prodaje građevinskog zemljišta na području Općine. Rashodi za nabavu nefinancijske imovine (šifra 4) iznose visokih 2.114.279,97 eura. Ovi rashodi odnose se na nastavak ulaganja u ključne kapitalne projekte Općine, među kojima dominiraju izgradnja i opremanje Centra za starije osobe, dogradnja dječjih vrtića te ulaganja u prometnu i komunalnu infrastrukturu. Zbog visokih kapitalnih ulaganja, u ovom je segmentu ostvaren očekivani manjak prihoda od nefinancijske imovine (šifra Y002) u iznosu od 1.836.822,54 eura.</w:t>
      </w:r>
      <w:r>
        <w:br/>
      </w:r>
      <w:r>
        <w:t xml:space="preserve">3. Primici i izdaci od financijske imovine (Manjak 107.923,87 eura) Ukupni primici od financijske imovine i zaduživanja (šifra 8) ostvareni su u iznosu od 1.167.915,50 eura, a primarno se odnose na korištenje sredstava iz dugoročnih namjenskih kredita (HBOR) za financiranje provedbe tekućih EU i ostalih kapitalnih projekata. Ukupni izdaci za financijsku imovinu i otplate zajmova (šifra 5) iznose 1.275.839,37 eura, a odnose se na redovite otplate dospjelih glavnica postojećih dugoročnih kredita te na zatvaranje kratkoročnih zaduženja za premošćivanje likvidnosti iz prethodnog razdoblja. Razlika ovih stavki rezultirala je manjkom od financijske imovine i zaduživanja (šifra Y003) u iznosu od 107.923,87 eura.</w:t>
      </w:r>
      <w:r>
        <w:br/>
      </w:r>
      <w:r>
        <w:t xml:space="preserve">Slijedom svega navedenog, kada se ostvareni višak tekućeg poslovanja (+1.282.455,01 eura) umanji za manjak nastao visokim kapitalnim ulaganjima (-1.836.822,54 eura) i manjak u računu financiranja (-107.923,87 eura), ostvaren je konačni rezultat tekućeg tromjesečja – Ukupan manjak prihoda i primitaka od 662.291,40 eura (šifra Y005).</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781.148,15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BILJEŠKA 2. – OBRAZLOŽENJE STANJA DOSPJELIH OBVEZA (OBRAZAC OBVEZE)</w:t>
      </w:r>
      <w:r>
        <w:br/>
      </w:r>
      <w:r>
        <w:t xml:space="preserve">Stanje dospjelih obveza Općine Sveti Filip i Jakov na kraju izvještajnog razdoblja (31. ožujka 2026. godine) iznosi ukupno 781.148,15 eura (šifra V007).</w:t>
      </w:r>
      <w:r>
        <w:br/>
      </w:r>
      <w:r>
        <w:t xml:space="preserve">Sukladno uputama Ministarstva financija, u stanje dospjelih obveza na dan 31. ožujka nisu uključene obveze za plaće za ožujak 2026. godine, s obzirom na to da one dospijevaju na naplatu tek u travnju.</w:t>
      </w:r>
      <w:r>
        <w:br/>
      </w:r>
      <w:r>
        <w:t xml:space="preserve">Ukupan iznos dospjelih obveza rezultat je privremenog jaza u likvidnosti, a struktura i razlozi kašnjenja po glavnim kategorijama su sljedeći:</w:t>
      </w:r>
      <w:r>
        <w:br/>
      </w:r>
      <w:r>
        <w:t xml:space="preserve">1. Obveze za materijalne rashode (šifra D232) Najveći udio u ukupnim dospjelim obvezama čine neplaćeni materijalni rashodi koji iznose 538.266,36 eura. Od ovog iznosa, najveći dio nalazi se u kašnjenju do 60 dana (217.620,78 eura) te između 61 i 180 dana (208.157,77 eura). Do kašnjenja u podmirivanju tekućih obveza prema dobavljačima (primarno za usluge tekućeg i investicijskog održavanja, komunalne usluge i energiju) došlo je uslijed potrebe da Općina iz vlastitih, općih prihoda predfinancira dio troškova velikih EU projekata dok se čekaju službeni povrati sredstava (ZNS) od strane nadležnih tijela.</w:t>
      </w:r>
      <w:r>
        <w:br/>
      </w:r>
      <w:r>
        <w:t xml:space="preserve">2. Obveze za nabavu nefinancijske imovine (šifra D24) Dospjele obveze za nabavu nefinancijske imovine iznose 183.185,45 eura. Ovdje je riječ o dospjelim, a neplaćenim privremenim situacijama i računima za izvođenje radova na velikim kapitalnim infrastrukturnim projektima, primarno na izgradnji i opremanju Centra za starije osobe, dječjih vrtića te nerazvrstanih cesta. Većina ovih obveza (84.618,86 eura) nalazi se u kašnjenju do 60 dana. Ove će se obveze podmiriti sukcesivno, sukladno dinamici povlačenja odobrenih sredstava iz dugoročnog kredita HBOR-a namijenjenog upravo za ove kapitalne investicije.</w:t>
      </w:r>
      <w:r>
        <w:br/>
      </w:r>
      <w:r>
        <w:t xml:space="preserve">3. Obveze za zaposlene (šifra D231) S obzirom na to da redovne plaće za ožujak nisu dio ovog iznosa, manji dio (4.983,37 eura) odnosi se na obveze starije od 360 dana proizašle iz prethodnih razdoblja.</w:t>
      </w:r>
      <w:r>
        <w:br/>
      </w:r>
      <w:r>
        <w:t xml:space="preserve">4. Ostale dospjele obveze (šifre D234 i D238) Preostali iznos odnosi se na dospjele financijske rashode u iznosu od 19.764,01 eura te na obveze za tekuće donacije i kapitalne pomoći u iznosu od 12.445,98 eura.</w:t>
      </w:r>
      <w:r>
        <w:br/>
      </w:r>
      <w:r>
        <w:t xml:space="preserve">Zaključak i mjere: Općina Sveti Filip i Jakov aktivno upravlja stanjem dospjelih obveza te se one planski smanjuju pojačanim radom na naplati općinskih vlastitih prihoda (naplata zaostale komunalne naknade i komunalnog doprinosa) te povlačenjem kreditnih sredstava namijenjenih pokriću kapitalnih investicija. Očekuje se da će se stabilizacijom priljeva EU sredstava i oslobađanjem općih prihoda značajno smanjiti iznos dospjelih obveza u narednim izvještajnim razdobljima.</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BILJEŠKA 3. – OBRAZLOŽENJE UZ IZVJEŠTAJ O EU SREDSTVIMA (EU IZVJEŠTAJ)</w:t>
      </w:r>
      <w:r>
        <w:br/>
      </w:r>
      <w:r>
        <w:t xml:space="preserve">U EU izvještaju za prvo tromjesečje 2026. godine, Općina Sveti Filip i Jakov iskazala je podatke o korištenju sredstava Europske unije praćene po novim jedinstvenim oznakama izvora financiranja, i to primarno za izvore:</w:t>
      </w:r>
      <w:r>
        <w:br/>
      </w:r>
      <w:r>
        <w:t xml:space="preserve">561 - Europski socijalni fond plus</w:t>
      </w:r>
      <w:r>
        <w:br/>
      </w:r>
      <w:r>
        <w:t xml:space="preserve">565 - Europski poljoprivredni fond za ruralni razvoj</w:t>
      </w:r>
      <w:r>
        <w:br/>
      </w:r>
      <w:r>
        <w:t xml:space="preserve">581 - Mehanizam za oporavak i otpornost</w:t>
      </w:r>
      <w:r>
        <w:br/>
      </w:r>
      <w:r>
        <w:t xml:space="preserve">S obzirom na to da je od 1. siječnja 2026. godine stupila na snagu obvezna primjena jedinstvenih oznaka izvora financiranja u računovodstvenim evidencijama, sukladno novoj Uputi za računovodstveno evidentiranje sredstava Europske unije, Općina se trenutno nalazi u opsežnom procesu metodološke tranzicije i usklađivanja analitičkih evidencija s glavnom knjigom.</w:t>
      </w:r>
      <w:r>
        <w:br/>
      </w:r>
      <w:r>
        <w:t xml:space="preserve">Dodatno, uslijed kadrovskih promjena i računovodstvenih poslova krajem prethodne godine, u planu je izvanredna interna analiza, inventura i kontrola svih otvorenih stavaka, ugovora, primljenih predujmova i potraživanja vezanih uz aktivne EU projekte.</w:t>
      </w:r>
      <w:r>
        <w:br/>
      </w:r>
      <w:r>
        <w:t xml:space="preserve">Zbog navedenog procesa dubinskog usklađivanja, podaci iskazani u EU izvještaju za razdoblje od 1. siječnja do 31. ožujka 2026. godine obuhvaćaju isključivo do sada verificirane poslovne promjene. Određeni dio poslovnih događaja proizašlih iz korištenja EU sredstava (posebice u dijelu priznavanja prihoda na modificiranoj obračunskoj osnovi te razgraničenja predujmova i vlastitog učešća) još uvijek je u postupku planiranja pripreme administrativne provjere i usklađivanja sa stanjima kod nadležnih programskih tijela.</w:t>
      </w:r>
      <w:r>
        <w:br/>
      </w:r>
      <w:r>
        <w:t xml:space="preserve">Sve preostale poslovne promjene koje se odnose na prvo tromjesečje, a koje će biti obuhvaćene u fazi inventure i kontrole, bit će cjelovito knjigovodstveno evidentirane po novoj metodologiji te iskazane u narednim financijskim i EU izvještajima tijekom 2026.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f6bd5dabd4f4db7" /></Relationships>
</file>